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5B1CA6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Phelan </w:t>
      </w:r>
    </w:p>
    <w:p w:rsidR="005B1CA6" w:rsidRDefault="005B1CA6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5B1CA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5B1CA6" w:rsidRPr="005B1CA6" w:rsidRDefault="005B1CA6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8423F80" wp14:editId="39C43930">
            <wp:extent cx="9124950" cy="6115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B1CA6" w:rsidRPr="005B1CA6" w:rsidSect="005B1C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6"/>
    <w:rsid w:val="00206930"/>
    <w:rsid w:val="005B1CA6"/>
    <w:rsid w:val="006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AAF6C-C882-490E-8195-5D4FE5E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39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6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274368"/>
        <c:axId val="439277112"/>
        <c:axId val="0"/>
      </c:bar3DChart>
      <c:catAx>
        <c:axId val="439274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277112"/>
        <c:crosses val="autoZero"/>
        <c:auto val="1"/>
        <c:lblAlgn val="ctr"/>
        <c:lblOffset val="100"/>
        <c:noMultiLvlLbl val="0"/>
      </c:catAx>
      <c:valAx>
        <c:axId val="439277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927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0.16075</cdr:x>
      <cdr:y>0.1324</cdr:y>
    </cdr:from>
    <cdr:to>
      <cdr:x>0.51461</cdr:x>
      <cdr:y>0.19315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809625"/>
          <a:ext cx="32289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4,875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2001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0.15971</cdr:x>
      <cdr:y>0.25545</cdr:y>
    </cdr:from>
    <cdr:to>
      <cdr:x>0.50104</cdr:x>
      <cdr:y>0.3162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562100"/>
          <a:ext cx="31146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2,947</a:t>
          </a:r>
          <a:r>
            <a:rPr lang="en-US" sz="1100"/>
            <a:t> -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0.16075</cdr:x>
      <cdr:y>0.31931</cdr:y>
    </cdr:from>
    <cdr:to>
      <cdr:x>0.5261</cdr:x>
      <cdr:y>0.37695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952625"/>
          <a:ext cx="33337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2,680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0.15866</cdr:x>
      <cdr:y>0.38006</cdr:y>
    </cdr:from>
    <cdr:to>
      <cdr:x>0.50835</cdr:x>
      <cdr:y>0.4486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47800" y="2324100"/>
          <a:ext cx="31908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2,010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0.15762</cdr:x>
      <cdr:y>0.44237</cdr:y>
    </cdr:from>
    <cdr:to>
      <cdr:x>0.50313</cdr:x>
      <cdr:y>0.50779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38275" y="2705100"/>
          <a:ext cx="31527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1,677</a:t>
          </a:r>
          <a:r>
            <a:rPr lang="en-US" sz="1100" baseline="0"/>
            <a:t> - Average Year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0.15971</cdr:x>
      <cdr:y>0.50467</cdr:y>
    </cdr:from>
    <cdr:to>
      <cdr:x>0.59081</cdr:x>
      <cdr:y>0.56698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57325" y="3086100"/>
          <a:ext cx="39338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1,752</a:t>
          </a:r>
          <a:r>
            <a:rPr lang="en-US" sz="1100"/>
            <a:t> 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0.16075</cdr:x>
      <cdr:y>0.56854</cdr:y>
    </cdr:from>
    <cdr:to>
      <cdr:x>0.55219</cdr:x>
      <cdr:y>0.6324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476625"/>
          <a:ext cx="35718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1,839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0.15866</cdr:x>
      <cdr:y>0.63084</cdr:y>
    </cdr:from>
    <cdr:to>
      <cdr:x>0.5762</cdr:x>
      <cdr:y>0.69782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47800" y="3857625"/>
          <a:ext cx="381000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1,683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0.16075</cdr:x>
      <cdr:y>0.69159</cdr:y>
    </cdr:from>
    <cdr:to>
      <cdr:x>0.57203</cdr:x>
      <cdr:y>0.76168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229100"/>
          <a:ext cx="375285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1,801</a:t>
          </a:r>
          <a:r>
            <a:rPr lang="en-US" sz="1100" baseline="0"/>
            <a:t> - Average Year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0.15971</cdr:x>
      <cdr:y>0.75701</cdr:y>
    </cdr:from>
    <cdr:to>
      <cdr:x>0.5261</cdr:x>
      <cdr:y>0.82399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57325" y="4629150"/>
          <a:ext cx="3343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1,387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0.16075</cdr:x>
      <cdr:y>0.82243</cdr:y>
    </cdr:from>
    <cdr:to>
      <cdr:x>0.51148</cdr:x>
      <cdr:y>0.87072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5029200"/>
          <a:ext cx="32004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896</a:t>
          </a:r>
          <a:r>
            <a:rPr lang="en-US" sz="1100"/>
            <a:t> -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0.1618</cdr:x>
      <cdr:y>0.94237</cdr:y>
    </cdr:from>
    <cdr:to>
      <cdr:x>0.56054</cdr:x>
      <cdr:y>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772150"/>
          <a:ext cx="36385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1,043</a:t>
          </a:r>
          <a:r>
            <a:rPr lang="en-US" sz="1100"/>
            <a:t> - Year Built </a:t>
          </a:r>
          <a:r>
            <a:rPr lang="en-US" sz="1100" b="1"/>
            <a:t>1975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2018-04-23T19:44:00Z</dcterms:created>
  <dcterms:modified xsi:type="dcterms:W3CDTF">2018-04-23T19:55:00Z</dcterms:modified>
</cp:coreProperties>
</file>